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MODELO DE PROGRAMA ANALÍTICO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20" w:lineRule="auto"/>
        <w:jc w:val="center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5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2077"/>
        <w:gridCol w:w="2683"/>
        <w:gridCol w:w="1134"/>
        <w:gridCol w:w="1038"/>
        <w:gridCol w:w="987"/>
        <w:gridCol w:w="1256"/>
        <w:tblGridChange w:id="0">
          <w:tblGrid>
            <w:gridCol w:w="2077"/>
            <w:gridCol w:w="2683"/>
            <w:gridCol w:w="1134"/>
            <w:gridCol w:w="1038"/>
            <w:gridCol w:w="987"/>
            <w:gridCol w:w="1256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Espacio Curricular: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Período correspondiente a la carrera: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Período de cursada: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Carga Horaria Semanal: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Carga Horaria 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after="120" w:lineRule="auto"/>
              <w:jc w:val="both"/>
              <w:rPr>
                <w:rFonts w:ascii="Arial" w:cs="Arial" w:eastAsia="Arial" w:hAnsi="Arial"/>
                <w:color w:val="00000a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rtl w:val="0"/>
              </w:rPr>
              <w:t xml:space="preserve">Modalidad: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highlight w:val="white"/>
                <w:rtl w:val="0"/>
              </w:rPr>
              <w:t xml:space="preserve">Materia - Seminario - Taller - Práctica Profesionalizante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1418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pos="1418"/>
              </w:tabs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highlight w:val="white"/>
                <w:u w:val="single"/>
                <w:rtl w:val="0"/>
              </w:rPr>
              <w:t xml:space="preserve">Docente/s: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highlight w:val="white"/>
                <w:rtl w:val="0"/>
              </w:rPr>
              <w:t xml:space="preserve">                                                               Email: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02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8902"/>
        <w:tblGridChange w:id="0">
          <w:tblGrid>
            <w:gridCol w:w="8902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highlight w:val="white"/>
                <w:rtl w:val="0"/>
              </w:rPr>
              <w:t xml:space="preserve">PRESENTACIÓN Y/O FUNDAMENTACIÓN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12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2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8902"/>
        <w:tblGridChange w:id="0">
          <w:tblGrid>
            <w:gridCol w:w="8902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highlight w:val="whit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12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Aclaración: Este apartado deberá indicar los objetivos generales de la materia y/o unidad en la que se encuadra la clase y los objetivos específicos para la clase en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after="120" w:lineRule="auto"/>
        <w:ind w:left="720" w:hanging="360"/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highlight w:val="white"/>
          <w:rtl w:val="0"/>
        </w:rPr>
        <w:t xml:space="preserve">Objetivos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120" w:lineRule="auto"/>
        <w:ind w:left="720" w:hanging="360"/>
        <w:jc w:val="both"/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highlight w:val="white"/>
          <w:rtl w:val="0"/>
        </w:rPr>
        <w:t xml:space="preserve">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highlight w:val="white"/>
                <w:rtl w:val="0"/>
              </w:rPr>
              <w:t xml:space="preserve">METODOLOGÍA DE ENSEÑANZA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highlight w:val="white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Aclaración: Este apartado dependerá de la cantidad de unidades que conformen la asignatura. Esta decisión queda a criterio del docente teniendo cuenta la distribución y secuenciación de los contenidos elegida, en base a los contenidos mínimos de referencia. Cada Unidad debe considerar Contenidos, Bibliografía obligatoria, Bibliografía ampliatoria.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Ejemplo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Unidad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Contenidos: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Bibliografía obligatoria: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Bibliografía ampliatoria: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highlight w:val="white"/>
                <w:rtl w:val="0"/>
              </w:rPr>
              <w:t xml:space="preserve">EVALUACIÓN Y ACREDITACIÓN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Este apartado requiere que se considere, entendidas como instancias distintas, lo  referido a la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Evaluación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y la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Acreditación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. La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evaluación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es un proceso amplio, complejo y profundo que comprende todo el acontecer del proceso educativo y la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acreditación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considera aspectos concretos más relacionados con los objetivos de aprendizaje planteados explícitamente en los programas de estudio.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evaluación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del aprendizaje del estudiante durante la cursada de los espacios curriculares se realizará a través de los mecanismos establecidos en el plan de estudios de la carrera y la normativa vigente. 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acreditación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del espacio curricular se realizará, según lo establezca el plan de estudios, a través de un Examen Final o con Promoción Directa sin Examen Final. Para acceder a cualquiera de estas instancia, los estudiantes deberán regularizar las materias; es decir, aprobar las instancias parciales y cumplir con los requisitos de asistencia.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highlight w:val="white"/>
                <w:rtl w:val="0"/>
              </w:rPr>
              <w:t xml:space="preserve">REQUISITOS DE ASISTENCIA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Deberá señalarse lo correspondiente para la regularización del espacio curricular según el Plan de Estudios y el Reglamento Orgánico de los Institutos de Nivel Superior. Deberá contemplar y detallar las condiciones y formas para acceder al reincorporatorio.</w:t>
      </w:r>
    </w:p>
    <w:p w:rsidR="00000000" w:rsidDel="00000000" w:rsidP="00000000" w:rsidRDefault="00000000" w:rsidRPr="00000000" w14:paraId="00000049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Ind w:w="-2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24"/>
                <w:szCs w:val="24"/>
                <w:highlight w:val="white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1455"/>
        <w:gridCol w:w="2520"/>
        <w:gridCol w:w="4620"/>
        <w:tblGridChange w:id="0">
          <w:tblGrid>
            <w:gridCol w:w="825"/>
            <w:gridCol w:w="1455"/>
            <w:gridCol w:w="2520"/>
            <w:gridCol w:w="4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highlight w:val="white"/>
                <w:rtl w:val="0"/>
              </w:rPr>
              <w:t xml:space="preserve">Clase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highlight w:val="white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highlight w:val="white"/>
                <w:rtl w:val="0"/>
              </w:rPr>
              <w:t xml:space="preserve">Unidad - Contenido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highlight w:val="white"/>
                <w:rtl w:val="0"/>
              </w:rPr>
              <w:t xml:space="preserve">Actividad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ab/>
      </w:r>
    </w:p>
    <w:sectPr>
      <w:headerReference r:id="rId6" w:type="defaul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widowControl w:val="0"/>
      <w:spacing w:after="0" w:line="276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0"/>
      <w:tblW w:w="9318.0" w:type="dxa"/>
      <w:jc w:val="left"/>
      <w:tblInd w:w="0.0" w:type="dxa"/>
      <w:tblBorders>
        <w:bottom w:color="808080" w:space="0" w:sz="8" w:val="single"/>
      </w:tblBorders>
      <w:tblLayout w:type="fixed"/>
      <w:tblLook w:val="0000"/>
    </w:tblPr>
    <w:tblGrid>
      <w:gridCol w:w="5829"/>
      <w:gridCol w:w="3489"/>
      <w:tblGridChange w:id="0">
        <w:tblGrid>
          <w:gridCol w:w="5829"/>
          <w:gridCol w:w="3489"/>
        </w:tblGrid>
      </w:tblGridChange>
    </w:tblGrid>
    <w:tr>
      <w:trPr>
        <w:trHeight w:val="1700" w:hRule="atLeast"/>
      </w:trPr>
      <w:tc>
        <w:tcPr>
          <w:vAlign w:val="center"/>
        </w:tcPr>
        <w:p w:rsidR="00000000" w:rsidDel="00000000" w:rsidP="00000000" w:rsidRDefault="00000000" w:rsidRPr="00000000" w14:paraId="0000009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 w:val="1"/>
              <w:smallCaps w:val="1"/>
              <w:color w:val="80808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808080"/>
            </w:rPr>
          </w:pPr>
          <w:r w:rsidDel="00000000" w:rsidR="00000000" w:rsidRPr="00000000">
            <w:rPr>
              <w:b w:val="1"/>
              <w:smallCaps w:val="1"/>
              <w:color w:val="808080"/>
              <w:rtl w:val="0"/>
            </w:rPr>
            <w:t xml:space="preserve">Instituto Superior Octubre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261a6b"/>
              <w:sz w:val="2"/>
              <w:szCs w:val="2"/>
            </w:rPr>
          </w:pPr>
          <w:r w:rsidDel="00000000" w:rsidR="00000000" w:rsidRPr="00000000">
            <w:rPr>
              <w:color w:val="808080"/>
              <w:rtl w:val="0"/>
            </w:rPr>
            <w:t xml:space="preserve">Modelo de Programa 2019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6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261a6b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349951</wp:posOffset>
                </wp:positionH>
                <wp:positionV relativeFrom="paragraph">
                  <wp:posOffset>173232</wp:posOffset>
                </wp:positionV>
                <wp:extent cx="1390650" cy="7239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12765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9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261a6b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261a6b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9">
    <w:pPr>
      <w:tabs>
        <w:tab w:val="center" w:pos="4252"/>
        <w:tab w:val="right" w:pos="8504"/>
      </w:tabs>
      <w:spacing w:after="0" w:line="240" w:lineRule="auto"/>
      <w:rPr>
        <w:color w:val="261a6b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